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DC" w:rsidRPr="00316C31" w:rsidRDefault="00C712DC" w:rsidP="00192F63">
      <w:pPr>
        <w:pStyle w:val="Nagwek1"/>
        <w:jc w:val="right"/>
        <w:rPr>
          <w:rFonts w:ascii="Times New Roman" w:eastAsia="Calibri" w:hAnsi="Times New Roman" w:cs="Times New Roman"/>
          <w:b/>
          <w:color w:val="auto"/>
          <w:sz w:val="21"/>
          <w:szCs w:val="21"/>
          <w:lang w:val="en-GB"/>
        </w:rPr>
      </w:pPr>
      <w:r w:rsidRPr="00316C31">
        <w:rPr>
          <w:rFonts w:ascii="Times New Roman" w:hAnsi="Times New Roman" w:cs="Times New Roman"/>
          <w:b/>
          <w:color w:val="auto"/>
          <w:sz w:val="21"/>
          <w:szCs w:val="21"/>
          <w:lang w:val="en"/>
        </w:rPr>
        <w:t>Appendix No. 1 to the CONFERENCE PARTICIPANT REGISTRATION FORM</w:t>
      </w:r>
    </w:p>
    <w:p w:rsidR="00192F63" w:rsidRPr="00316C31" w:rsidRDefault="00192F63" w:rsidP="00192F63">
      <w:pPr>
        <w:pStyle w:val="Nagwek2"/>
        <w:rPr>
          <w:rFonts w:ascii="Times New Roman" w:eastAsia="Calibri" w:hAnsi="Times New Roman" w:cs="Times New Roman"/>
          <w:b/>
          <w:color w:val="auto"/>
          <w:sz w:val="28"/>
          <w:szCs w:val="28"/>
          <w:lang w:val="en-GB"/>
        </w:rPr>
      </w:pPr>
    </w:p>
    <w:p w:rsidR="00C712DC" w:rsidRPr="00316C31" w:rsidRDefault="00C712DC" w:rsidP="00192F63">
      <w:pPr>
        <w:pStyle w:val="Nagwek2"/>
        <w:rPr>
          <w:rFonts w:ascii="Times New Roman" w:eastAsia="Calibri" w:hAnsi="Times New Roman" w:cs="Times New Roman"/>
          <w:b/>
          <w:color w:val="auto"/>
          <w:sz w:val="28"/>
          <w:szCs w:val="28"/>
          <w:lang w:val="en-GB"/>
        </w:rPr>
      </w:pPr>
      <w:r w:rsidRPr="00316C31">
        <w:rPr>
          <w:rFonts w:ascii="Times New Roman" w:hAnsi="Times New Roman" w:cs="Times New Roman"/>
          <w:b/>
          <w:color w:val="auto"/>
          <w:sz w:val="28"/>
          <w:szCs w:val="28"/>
          <w:lang w:val="en"/>
        </w:rPr>
        <w:t>Information clause on the protection of personal data</w:t>
      </w:r>
    </w:p>
    <w:p w:rsidR="00192F63" w:rsidRPr="00316C31" w:rsidRDefault="00192F63" w:rsidP="00192F63">
      <w:pPr>
        <w:pStyle w:val="Tekstpodstawowy"/>
        <w:rPr>
          <w:rFonts w:ascii="Times New Roman" w:eastAsia="Calibri" w:hAnsi="Times New Roman" w:cs="Times New Roman"/>
          <w:sz w:val="21"/>
          <w:szCs w:val="21"/>
          <w:lang w:val="en-GB"/>
        </w:rPr>
      </w:pPr>
    </w:p>
    <w:p w:rsidR="00B274E8" w:rsidRPr="00316C31" w:rsidRDefault="0009094E" w:rsidP="009D7BEC">
      <w:pPr>
        <w:pStyle w:val="Tekstpodstawowy"/>
        <w:jc w:val="both"/>
        <w:rPr>
          <w:rFonts w:ascii="Times New Roman" w:eastAsia="Calibri" w:hAnsi="Times New Roman" w:cs="Times New Roman"/>
          <w:sz w:val="21"/>
          <w:szCs w:val="21"/>
          <w:lang w:val="en-GB"/>
        </w:rPr>
      </w:pPr>
      <w:r w:rsidRPr="00316C31">
        <w:rPr>
          <w:rFonts w:ascii="Times New Roman" w:hAnsi="Times New Roman" w:cs="Times New Roman"/>
          <w:sz w:val="21"/>
          <w:szCs w:val="21"/>
          <w:lang w:val="en"/>
        </w:rPr>
        <w:t>The processing of personal data of the Participants of the Conference "Cities of the Hanseatic League – heritage, tourism, development" will take place on the principles provided for in Regulation (EU) 2016/679 of the European Parliament and of the Council of 27 April 2016 on the protection of individuals with regard to the processing of personal data and on the free movement of such data, and repealing Directive 95/46/EC (General Data Protection Regulation):</w:t>
      </w:r>
    </w:p>
    <w:p w:rsidR="00F9628F" w:rsidRPr="00316C31" w:rsidRDefault="00F9628F"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 xml:space="preserve">The administrator of the processed data is: University of Tourism and Hotel Management in Gdańsk, Księdza Leona Miszewskiego 12/13, 80-239 </w:t>
      </w:r>
      <w:proofErr w:type="spellStart"/>
      <w:r w:rsidRPr="00316C31">
        <w:rPr>
          <w:rFonts w:ascii="Times New Roman" w:hAnsi="Times New Roman"/>
          <w:sz w:val="21"/>
          <w:szCs w:val="21"/>
          <w:lang w:val="en"/>
        </w:rPr>
        <w:t>Gdańsk</w:t>
      </w:r>
      <w:proofErr w:type="spellEnd"/>
      <w:r w:rsidRPr="00316C31">
        <w:rPr>
          <w:rFonts w:ascii="Times New Roman" w:hAnsi="Times New Roman"/>
          <w:sz w:val="21"/>
          <w:szCs w:val="21"/>
          <w:lang w:val="en"/>
        </w:rPr>
        <w:t xml:space="preserve">, email: </w:t>
      </w:r>
      <w:hyperlink r:id="rId5" w:history="1">
        <w:r w:rsidR="00192F63" w:rsidRPr="00316C31">
          <w:rPr>
            <w:rStyle w:val="Hipercze"/>
            <w:rFonts w:ascii="Times New Roman" w:hAnsi="Times New Roman"/>
            <w:sz w:val="21"/>
            <w:szCs w:val="21"/>
            <w:lang w:val="en"/>
          </w:rPr>
          <w:t>wstih@wstih.pl</w:t>
        </w:r>
      </w:hyperlink>
      <w:r w:rsidRPr="00316C31">
        <w:rPr>
          <w:rFonts w:ascii="Times New Roman" w:hAnsi="Times New Roman"/>
          <w:sz w:val="21"/>
          <w:szCs w:val="21"/>
          <w:lang w:val="en"/>
        </w:rPr>
        <w:t>.</w:t>
      </w:r>
    </w:p>
    <w:p w:rsidR="00F9628F" w:rsidRPr="00316C31" w:rsidRDefault="00F9628F"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 xml:space="preserve">The purpose of personal data processing is the organization, conduct and archiving of the Conference documentation, for the purpose of publishing personal data of the </w:t>
      </w:r>
      <w:r w:rsidR="00BB5277" w:rsidRPr="00316C31">
        <w:rPr>
          <w:rFonts w:ascii="Times New Roman" w:hAnsi="Times New Roman"/>
          <w:sz w:val="21"/>
          <w:szCs w:val="21"/>
          <w:lang w:val="en"/>
        </w:rPr>
        <w:t xml:space="preserve">participants </w:t>
      </w:r>
      <w:r w:rsidRPr="00316C31">
        <w:rPr>
          <w:rFonts w:ascii="Times New Roman" w:hAnsi="Times New Roman"/>
          <w:lang w:val="en"/>
        </w:rPr>
        <w:t xml:space="preserve"> of the </w:t>
      </w:r>
      <w:r w:rsidR="00192F63" w:rsidRPr="00316C31">
        <w:rPr>
          <w:rFonts w:ascii="Times New Roman" w:hAnsi="Times New Roman"/>
          <w:sz w:val="21"/>
          <w:szCs w:val="21"/>
          <w:lang w:val="en"/>
        </w:rPr>
        <w:t>Conference</w:t>
      </w:r>
      <w:r w:rsidR="00316C31">
        <w:rPr>
          <w:rFonts w:ascii="Times New Roman" w:hAnsi="Times New Roman"/>
          <w:sz w:val="21"/>
          <w:szCs w:val="21"/>
          <w:lang w:val="en"/>
        </w:rPr>
        <w:t xml:space="preserve"> </w:t>
      </w:r>
      <w:bookmarkStart w:id="0" w:name="_GoBack"/>
      <w:bookmarkEnd w:id="0"/>
      <w:r w:rsidR="00BB5277" w:rsidRPr="00316C31">
        <w:rPr>
          <w:rFonts w:ascii="Times New Roman" w:hAnsi="Times New Roman"/>
          <w:sz w:val="21"/>
          <w:szCs w:val="21"/>
          <w:lang w:val="en"/>
        </w:rPr>
        <w:t xml:space="preserve">(name and surname) and for marketing purposes related to the statutory activities of the Organizer of the </w:t>
      </w:r>
      <w:r w:rsidR="00192F63" w:rsidRPr="00316C31">
        <w:rPr>
          <w:rFonts w:ascii="Times New Roman" w:hAnsi="Times New Roman"/>
          <w:sz w:val="21"/>
          <w:szCs w:val="21"/>
          <w:lang w:val="en"/>
        </w:rPr>
        <w:t>Conference</w:t>
      </w:r>
      <w:r w:rsidR="004A5CC2" w:rsidRPr="00316C31">
        <w:rPr>
          <w:rFonts w:ascii="Times New Roman" w:hAnsi="Times New Roman"/>
          <w:sz w:val="21"/>
          <w:szCs w:val="21"/>
          <w:lang w:val="en"/>
        </w:rPr>
        <w:t>.</w:t>
      </w:r>
    </w:p>
    <w:p w:rsidR="00F9628F" w:rsidRPr="00316C31" w:rsidRDefault="00F9628F"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Personal data is secured in accordance with applicable regulations, and their recipients may be entities authorized to disclose data to them under the law and entities processing personal data as part of the provision of services to the Administrator.</w:t>
      </w:r>
    </w:p>
    <w:p w:rsidR="004A5CC2" w:rsidRPr="00316C31" w:rsidRDefault="00F9628F"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It is not envisaged that data will be transferred to countries outside the European Economic Area or international institutions or that personal data will be processed for a purpose other than that for which the personal data were collected.</w:t>
      </w:r>
    </w:p>
    <w:p w:rsidR="004A5CC2" w:rsidRPr="00316C31" w:rsidRDefault="005013EF"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 xml:space="preserve">Personal data in the form of an image may be transferred to a third country or an international organization (i.e. outside the European Union and to countries outside the European Economic Area) in connection with the publication of a photographic report from the course of the conference via an account on a social networking site (e.g. Facebook) run by the administrator </w:t>
      </w:r>
      <w:r w:rsidR="004A5CC2" w:rsidRPr="00316C31">
        <w:rPr>
          <w:rFonts w:ascii="Times New Roman" w:hAnsi="Times New Roman"/>
          <w:sz w:val="21"/>
          <w:szCs w:val="21"/>
          <w:lang w:val="en"/>
        </w:rPr>
        <w:t xml:space="preserve">or an entity acting on behalf of </w:t>
      </w:r>
      <w:r w:rsidR="00192F63" w:rsidRPr="00316C31">
        <w:rPr>
          <w:rFonts w:ascii="Times New Roman" w:hAnsi="Times New Roman"/>
          <w:sz w:val="21"/>
          <w:szCs w:val="21"/>
          <w:lang w:val="en"/>
        </w:rPr>
        <w:t>the A</w:t>
      </w:r>
      <w:r w:rsidR="004A5CC2" w:rsidRPr="00316C31">
        <w:rPr>
          <w:rFonts w:ascii="Times New Roman" w:hAnsi="Times New Roman"/>
          <w:sz w:val="21"/>
          <w:szCs w:val="21"/>
          <w:lang w:val="en"/>
        </w:rPr>
        <w:t>administrator.</w:t>
      </w:r>
      <w:r w:rsidRPr="00316C31">
        <w:rPr>
          <w:rFonts w:ascii="Times New Roman" w:hAnsi="Times New Roman"/>
          <w:lang w:val="en"/>
        </w:rPr>
        <w:t xml:space="preserve"> </w:t>
      </w:r>
    </w:p>
    <w:p w:rsidR="00F9628F" w:rsidRPr="00316C31" w:rsidRDefault="004A5CC2"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 xml:space="preserve">Personal data will not be undertaken in an automated manner and subject to profiling, subject to activities conducted on the terms provided for in the regulations of the administrator of the portal and/or social application. </w:t>
      </w:r>
    </w:p>
    <w:p w:rsidR="00F9628F" w:rsidRPr="00316C31" w:rsidRDefault="00776BF5"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Personal data will be stored until the consent is withdrawn, until the legal obligations (e.g. tax, archival) incumbent on the Data Administrator are fulfilled and until the investigation and defense against claims for the period resulting from the general limitation periods for claims.</w:t>
      </w:r>
    </w:p>
    <w:p w:rsidR="00167D01" w:rsidRPr="00316C31" w:rsidRDefault="00192F63"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Participants</w:t>
      </w:r>
      <w:r w:rsidR="00316C31">
        <w:rPr>
          <w:rFonts w:ascii="Times New Roman" w:hAnsi="Times New Roman"/>
          <w:sz w:val="21"/>
          <w:szCs w:val="21"/>
          <w:lang w:val="en"/>
        </w:rPr>
        <w:t xml:space="preserve"> </w:t>
      </w:r>
      <w:r w:rsidR="004A5CC2" w:rsidRPr="00316C31">
        <w:rPr>
          <w:rFonts w:ascii="Times New Roman" w:hAnsi="Times New Roman"/>
          <w:sz w:val="21"/>
          <w:szCs w:val="21"/>
          <w:lang w:val="en"/>
        </w:rPr>
        <w:t>who agree to the processing of personal data have the right to access their data and, subject to the law, have the right to:</w:t>
      </w:r>
    </w:p>
    <w:p w:rsidR="00167D01" w:rsidRPr="00316C31" w:rsidRDefault="00167D01" w:rsidP="00102B15">
      <w:pPr>
        <w:pStyle w:val="Akapitzlist"/>
        <w:numPr>
          <w:ilvl w:val="0"/>
          <w:numId w:val="10"/>
        </w:numPr>
        <w:spacing w:after="0" w:line="240" w:lineRule="auto"/>
        <w:ind w:left="1276" w:hanging="357"/>
        <w:contextualSpacing w:val="0"/>
        <w:jc w:val="both"/>
        <w:rPr>
          <w:rFonts w:ascii="Times New Roman" w:hAnsi="Times New Roman"/>
          <w:sz w:val="21"/>
          <w:szCs w:val="21"/>
        </w:rPr>
      </w:pPr>
      <w:r w:rsidRPr="00316C31">
        <w:rPr>
          <w:rFonts w:ascii="Times New Roman" w:hAnsi="Times New Roman"/>
          <w:sz w:val="21"/>
          <w:szCs w:val="21"/>
          <w:lang w:val="en"/>
        </w:rPr>
        <w:t>rectification of data,</w:t>
      </w:r>
    </w:p>
    <w:p w:rsidR="00167D01" w:rsidRPr="00316C31" w:rsidRDefault="00167D01" w:rsidP="00102B15">
      <w:pPr>
        <w:pStyle w:val="Akapitzlist"/>
        <w:numPr>
          <w:ilvl w:val="0"/>
          <w:numId w:val="10"/>
        </w:numPr>
        <w:spacing w:after="0"/>
        <w:ind w:left="1276" w:hanging="357"/>
        <w:contextualSpacing w:val="0"/>
        <w:jc w:val="both"/>
        <w:rPr>
          <w:rFonts w:ascii="Times New Roman" w:hAnsi="Times New Roman"/>
          <w:sz w:val="21"/>
          <w:szCs w:val="21"/>
          <w:lang w:val="en-GB"/>
        </w:rPr>
      </w:pPr>
      <w:r w:rsidRPr="00316C31">
        <w:rPr>
          <w:rFonts w:ascii="Times New Roman" w:hAnsi="Times New Roman"/>
          <w:sz w:val="21"/>
          <w:szCs w:val="21"/>
          <w:lang w:val="en"/>
        </w:rPr>
        <w:t>obtain a copy of your data,</w:t>
      </w:r>
    </w:p>
    <w:p w:rsidR="00167D01" w:rsidRPr="00316C31" w:rsidRDefault="00167D01" w:rsidP="00102B15">
      <w:pPr>
        <w:pStyle w:val="Akapitzlist"/>
        <w:numPr>
          <w:ilvl w:val="0"/>
          <w:numId w:val="10"/>
        </w:numPr>
        <w:spacing w:after="0"/>
        <w:ind w:left="1276" w:hanging="357"/>
        <w:contextualSpacing w:val="0"/>
        <w:jc w:val="both"/>
        <w:rPr>
          <w:rFonts w:ascii="Times New Roman" w:hAnsi="Times New Roman"/>
          <w:sz w:val="21"/>
          <w:szCs w:val="21"/>
        </w:rPr>
      </w:pPr>
      <w:r w:rsidRPr="00316C31">
        <w:rPr>
          <w:rFonts w:ascii="Times New Roman" w:hAnsi="Times New Roman"/>
          <w:sz w:val="21"/>
          <w:szCs w:val="21"/>
          <w:lang w:val="en"/>
        </w:rPr>
        <w:t>restriction of data processing,</w:t>
      </w:r>
    </w:p>
    <w:p w:rsidR="00167D01" w:rsidRPr="00316C31" w:rsidRDefault="00167D01" w:rsidP="00102B15">
      <w:pPr>
        <w:pStyle w:val="Akapitzlist"/>
        <w:numPr>
          <w:ilvl w:val="0"/>
          <w:numId w:val="10"/>
        </w:numPr>
        <w:spacing w:after="0"/>
        <w:ind w:left="1276" w:hanging="357"/>
        <w:contextualSpacing w:val="0"/>
        <w:jc w:val="both"/>
        <w:rPr>
          <w:rFonts w:ascii="Times New Roman" w:hAnsi="Times New Roman"/>
          <w:sz w:val="21"/>
          <w:szCs w:val="21"/>
          <w:lang w:val="en-GB"/>
        </w:rPr>
      </w:pPr>
      <w:r w:rsidRPr="00316C31">
        <w:rPr>
          <w:rFonts w:ascii="Times New Roman" w:hAnsi="Times New Roman"/>
          <w:sz w:val="21"/>
          <w:szCs w:val="21"/>
          <w:lang w:val="en"/>
        </w:rPr>
        <w:t>object, however, we would like to inform you that an objection to the processing of personal data will result in refusal to participate in the competition if it causes an obstacle to its proper consideration,</w:t>
      </w:r>
    </w:p>
    <w:p w:rsidR="00167D01" w:rsidRPr="00316C31" w:rsidRDefault="00167D01" w:rsidP="00102B15">
      <w:pPr>
        <w:pStyle w:val="Akapitzlist"/>
        <w:numPr>
          <w:ilvl w:val="0"/>
          <w:numId w:val="10"/>
        </w:numPr>
        <w:spacing w:after="0"/>
        <w:ind w:left="1276" w:hanging="357"/>
        <w:contextualSpacing w:val="0"/>
        <w:jc w:val="both"/>
        <w:rPr>
          <w:rFonts w:ascii="Times New Roman" w:hAnsi="Times New Roman"/>
          <w:sz w:val="21"/>
          <w:szCs w:val="21"/>
          <w:lang w:val="en-GB"/>
        </w:rPr>
      </w:pPr>
      <w:r w:rsidRPr="00316C31">
        <w:rPr>
          <w:rFonts w:ascii="Times New Roman" w:hAnsi="Times New Roman"/>
          <w:sz w:val="21"/>
          <w:szCs w:val="21"/>
          <w:lang w:val="en"/>
        </w:rPr>
        <w:t>withdraw your consent at any time. However, the withdrawal of consent will not affect the processing that was carried out on the basis of the consent of this person before its withdrawal.</w:t>
      </w:r>
    </w:p>
    <w:p w:rsidR="00167D01" w:rsidRPr="00316C31" w:rsidRDefault="00167D01" w:rsidP="00102B15">
      <w:pPr>
        <w:pStyle w:val="Akapitzlist"/>
        <w:numPr>
          <w:ilvl w:val="0"/>
          <w:numId w:val="10"/>
        </w:numPr>
        <w:spacing w:after="0"/>
        <w:ind w:left="1276" w:hanging="357"/>
        <w:contextualSpacing w:val="0"/>
        <w:jc w:val="both"/>
        <w:rPr>
          <w:rFonts w:ascii="Times New Roman" w:hAnsi="Times New Roman"/>
          <w:sz w:val="21"/>
          <w:szCs w:val="21"/>
          <w:lang w:val="en-GB"/>
        </w:rPr>
      </w:pPr>
      <w:r w:rsidRPr="00316C31">
        <w:rPr>
          <w:rFonts w:ascii="Times New Roman" w:hAnsi="Times New Roman"/>
          <w:sz w:val="21"/>
          <w:szCs w:val="21"/>
          <w:lang w:val="en"/>
        </w:rPr>
        <w:t>request the deletion of data (except when the Administrator processes data in order to establish, investigate or defend their claims),</w:t>
      </w:r>
    </w:p>
    <w:p w:rsidR="00167D01" w:rsidRPr="00316C31" w:rsidRDefault="00167D01" w:rsidP="00102B15">
      <w:pPr>
        <w:pStyle w:val="Akapitzlist"/>
        <w:numPr>
          <w:ilvl w:val="0"/>
          <w:numId w:val="10"/>
        </w:numPr>
        <w:spacing w:after="120" w:line="257" w:lineRule="auto"/>
        <w:ind w:left="1276" w:hanging="357"/>
        <w:contextualSpacing w:val="0"/>
        <w:jc w:val="both"/>
        <w:rPr>
          <w:rFonts w:ascii="Times New Roman" w:hAnsi="Times New Roman"/>
          <w:sz w:val="21"/>
          <w:szCs w:val="21"/>
          <w:lang w:val="en-GB"/>
        </w:rPr>
      </w:pPr>
      <w:r w:rsidRPr="00316C31">
        <w:rPr>
          <w:rFonts w:ascii="Times New Roman" w:hAnsi="Times New Roman"/>
          <w:sz w:val="21"/>
          <w:szCs w:val="21"/>
          <w:lang w:val="en"/>
        </w:rPr>
        <w:t>file a complaint to the President of the Office for Personal Data Protection.</w:t>
      </w:r>
    </w:p>
    <w:p w:rsidR="00AF3D9A" w:rsidRPr="00316C31" w:rsidRDefault="004C0EC3" w:rsidP="00102B15">
      <w:pPr>
        <w:pStyle w:val="Akapitzlist"/>
        <w:numPr>
          <w:ilvl w:val="0"/>
          <w:numId w:val="7"/>
        </w:numPr>
        <w:spacing w:after="120" w:line="240" w:lineRule="auto"/>
        <w:ind w:hanging="357"/>
        <w:contextualSpacing w:val="0"/>
        <w:jc w:val="both"/>
        <w:rPr>
          <w:rFonts w:ascii="Times New Roman" w:hAnsi="Times New Roman"/>
          <w:sz w:val="21"/>
          <w:szCs w:val="21"/>
          <w:lang w:val="en-GB"/>
        </w:rPr>
      </w:pPr>
      <w:r w:rsidRPr="00316C31">
        <w:rPr>
          <w:rFonts w:ascii="Times New Roman" w:hAnsi="Times New Roman"/>
          <w:sz w:val="21"/>
          <w:szCs w:val="21"/>
          <w:lang w:val="en"/>
        </w:rPr>
        <w:t xml:space="preserve">In addition, the member </w:t>
      </w:r>
      <w:r w:rsidRPr="00316C31">
        <w:rPr>
          <w:rFonts w:ascii="Times New Roman" w:hAnsi="Times New Roman"/>
          <w:lang w:val="en"/>
        </w:rPr>
        <w:t xml:space="preserve"> of the</w:t>
      </w:r>
      <w:r w:rsidR="00316C31">
        <w:rPr>
          <w:rFonts w:ascii="Times New Roman" w:hAnsi="Times New Roman"/>
          <w:lang w:val="en"/>
        </w:rPr>
        <w:t xml:space="preserve"> Con</w:t>
      </w:r>
      <w:r w:rsidR="00192F63" w:rsidRPr="00316C31">
        <w:rPr>
          <w:rFonts w:ascii="Times New Roman" w:hAnsi="Times New Roman"/>
          <w:sz w:val="21"/>
          <w:szCs w:val="21"/>
          <w:lang w:val="en"/>
        </w:rPr>
        <w:t>ference has</w:t>
      </w:r>
      <w:r w:rsidRPr="00316C31">
        <w:rPr>
          <w:rFonts w:ascii="Times New Roman" w:hAnsi="Times New Roman"/>
          <w:lang w:val="en"/>
        </w:rPr>
        <w:t xml:space="preserve"> the right to </w:t>
      </w:r>
      <w:r w:rsidR="004A5CC2" w:rsidRPr="00316C31">
        <w:rPr>
          <w:rFonts w:ascii="Times New Roman" w:hAnsi="Times New Roman"/>
          <w:sz w:val="21"/>
          <w:szCs w:val="21"/>
          <w:lang w:val="en"/>
        </w:rPr>
        <w:t>contact the Data Protection Officer (</w:t>
      </w:r>
      <w:hyperlink r:id="rId6" w:history="1">
        <w:r w:rsidR="00192F63" w:rsidRPr="00316C31">
          <w:rPr>
            <w:rStyle w:val="Hipercze"/>
            <w:rFonts w:ascii="Times New Roman" w:hAnsi="Times New Roman"/>
            <w:sz w:val="21"/>
            <w:szCs w:val="21"/>
            <w:lang w:val="en"/>
          </w:rPr>
          <w:t>iod@wstih.pl</w:t>
        </w:r>
      </w:hyperlink>
      <w:r w:rsidR="00F9628F" w:rsidRPr="00316C31">
        <w:rPr>
          <w:rFonts w:ascii="Times New Roman" w:hAnsi="Times New Roman"/>
          <w:sz w:val="21"/>
          <w:szCs w:val="21"/>
          <w:lang w:val="en"/>
        </w:rPr>
        <w:t>) and the right to compensation for material or non-material damage as a result of a breach of the GDPR.</w:t>
      </w:r>
    </w:p>
    <w:sectPr w:rsidR="00AF3D9A" w:rsidRPr="00316C31" w:rsidSect="00192F63">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tillium Web">
    <w:altName w:val="Titillium Web"/>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DA4"/>
    <w:multiLevelType w:val="hybridMultilevel"/>
    <w:tmpl w:val="42FC4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24217"/>
    <w:multiLevelType w:val="hybridMultilevel"/>
    <w:tmpl w:val="4F62F2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EB5AF4"/>
    <w:multiLevelType w:val="hybridMultilevel"/>
    <w:tmpl w:val="381CD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025A58"/>
    <w:multiLevelType w:val="hybridMultilevel"/>
    <w:tmpl w:val="CCD0EC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033163"/>
    <w:multiLevelType w:val="hybridMultilevel"/>
    <w:tmpl w:val="330E2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211FB9"/>
    <w:multiLevelType w:val="hybridMultilevel"/>
    <w:tmpl w:val="727EBA2A"/>
    <w:lvl w:ilvl="0" w:tplc="54B64E78">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E93546"/>
    <w:multiLevelType w:val="hybridMultilevel"/>
    <w:tmpl w:val="17128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AC53EA"/>
    <w:multiLevelType w:val="hybridMultilevel"/>
    <w:tmpl w:val="BC84BBA0"/>
    <w:lvl w:ilvl="0" w:tplc="54B64E7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591A15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B26D69"/>
    <w:multiLevelType w:val="multilevel"/>
    <w:tmpl w:val="4244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456CA"/>
    <w:multiLevelType w:val="hybridMultilevel"/>
    <w:tmpl w:val="769A78D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679760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1015D6"/>
    <w:multiLevelType w:val="hybridMultilevel"/>
    <w:tmpl w:val="AE161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5E0D2D"/>
    <w:multiLevelType w:val="hybridMultilevel"/>
    <w:tmpl w:val="74184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EB07F0"/>
    <w:multiLevelType w:val="hybridMultilevel"/>
    <w:tmpl w:val="4906D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12"/>
  </w:num>
  <w:num w:numId="5">
    <w:abstractNumId w:val="6"/>
  </w:num>
  <w:num w:numId="6">
    <w:abstractNumId w:val="10"/>
  </w:num>
  <w:num w:numId="7">
    <w:abstractNumId w:val="4"/>
  </w:num>
  <w:num w:numId="8">
    <w:abstractNumId w:val="2"/>
  </w:num>
  <w:num w:numId="9">
    <w:abstractNumId w:val="0"/>
  </w:num>
  <w:num w:numId="10">
    <w:abstractNumId w:val="7"/>
  </w:num>
  <w:num w:numId="11">
    <w:abstractNumId w:val="5"/>
  </w:num>
  <w:num w:numId="12">
    <w:abstractNumId w:val="13"/>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8F"/>
    <w:rsid w:val="00077CB7"/>
    <w:rsid w:val="0009094E"/>
    <w:rsid w:val="000A24A3"/>
    <w:rsid w:val="00102B15"/>
    <w:rsid w:val="001203C4"/>
    <w:rsid w:val="001239F5"/>
    <w:rsid w:val="00167D01"/>
    <w:rsid w:val="00192F63"/>
    <w:rsid w:val="00211478"/>
    <w:rsid w:val="0024477B"/>
    <w:rsid w:val="0026468D"/>
    <w:rsid w:val="00291C93"/>
    <w:rsid w:val="00316C31"/>
    <w:rsid w:val="00334066"/>
    <w:rsid w:val="00380303"/>
    <w:rsid w:val="003D20AE"/>
    <w:rsid w:val="00456189"/>
    <w:rsid w:val="004A5CC2"/>
    <w:rsid w:val="004C0EC3"/>
    <w:rsid w:val="005013EF"/>
    <w:rsid w:val="00547C0F"/>
    <w:rsid w:val="00655FA1"/>
    <w:rsid w:val="00656A07"/>
    <w:rsid w:val="006A5BAE"/>
    <w:rsid w:val="006D64D3"/>
    <w:rsid w:val="00767557"/>
    <w:rsid w:val="00776BF5"/>
    <w:rsid w:val="007B0918"/>
    <w:rsid w:val="007E6C30"/>
    <w:rsid w:val="0080114F"/>
    <w:rsid w:val="00834BD4"/>
    <w:rsid w:val="00880A8C"/>
    <w:rsid w:val="008A5889"/>
    <w:rsid w:val="008C31A4"/>
    <w:rsid w:val="00945D3E"/>
    <w:rsid w:val="00965A20"/>
    <w:rsid w:val="00995874"/>
    <w:rsid w:val="009D7BEC"/>
    <w:rsid w:val="00A30453"/>
    <w:rsid w:val="00A60526"/>
    <w:rsid w:val="00AA65E0"/>
    <w:rsid w:val="00AF3D9A"/>
    <w:rsid w:val="00B274E8"/>
    <w:rsid w:val="00B35330"/>
    <w:rsid w:val="00B72334"/>
    <w:rsid w:val="00BB5277"/>
    <w:rsid w:val="00BD1C56"/>
    <w:rsid w:val="00BE6728"/>
    <w:rsid w:val="00C712DC"/>
    <w:rsid w:val="00C7314A"/>
    <w:rsid w:val="00C84C7B"/>
    <w:rsid w:val="00C91C3E"/>
    <w:rsid w:val="00CB283C"/>
    <w:rsid w:val="00D12130"/>
    <w:rsid w:val="00D840D4"/>
    <w:rsid w:val="00EA08E2"/>
    <w:rsid w:val="00EB2E95"/>
    <w:rsid w:val="00EC2763"/>
    <w:rsid w:val="00ED450B"/>
    <w:rsid w:val="00EE3996"/>
    <w:rsid w:val="00F31233"/>
    <w:rsid w:val="00F422D6"/>
    <w:rsid w:val="00F96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B47F"/>
  <w15:docId w15:val="{CADCC12D-4E64-48B1-9649-2EA85D3E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2334"/>
  </w:style>
  <w:style w:type="paragraph" w:styleId="Nagwek1">
    <w:name w:val="heading 1"/>
    <w:basedOn w:val="Normalny"/>
    <w:next w:val="Normalny"/>
    <w:link w:val="Nagwek1Znak"/>
    <w:uiPriority w:val="9"/>
    <w:qFormat/>
    <w:rsid w:val="00192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92F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628F"/>
    <w:pPr>
      <w:spacing w:line="256" w:lineRule="auto"/>
      <w:ind w:left="720"/>
      <w:contextualSpacing/>
    </w:pPr>
    <w:rPr>
      <w:rFonts w:ascii="Calibri" w:eastAsia="Calibri" w:hAnsi="Calibri" w:cs="Times New Roman"/>
    </w:rPr>
  </w:style>
  <w:style w:type="paragraph" w:customStyle="1" w:styleId="Default">
    <w:name w:val="Default"/>
    <w:rsid w:val="00F9628F"/>
    <w:pPr>
      <w:autoSpaceDE w:val="0"/>
      <w:autoSpaceDN w:val="0"/>
      <w:adjustRightInd w:val="0"/>
      <w:spacing w:after="0" w:line="240" w:lineRule="auto"/>
    </w:pPr>
    <w:rPr>
      <w:rFonts w:ascii="Titillium Web" w:hAnsi="Titillium Web" w:cs="Titillium Web"/>
      <w:color w:val="000000"/>
      <w:sz w:val="24"/>
      <w:szCs w:val="24"/>
    </w:rPr>
  </w:style>
  <w:style w:type="character" w:styleId="Odwoaniedokomentarza">
    <w:name w:val="annotation reference"/>
    <w:basedOn w:val="Domylnaczcionkaakapitu"/>
    <w:uiPriority w:val="99"/>
    <w:semiHidden/>
    <w:unhideWhenUsed/>
    <w:rsid w:val="00B35330"/>
    <w:rPr>
      <w:sz w:val="16"/>
      <w:szCs w:val="16"/>
    </w:rPr>
  </w:style>
  <w:style w:type="paragraph" w:styleId="Tekstkomentarza">
    <w:name w:val="annotation text"/>
    <w:basedOn w:val="Normalny"/>
    <w:link w:val="TekstkomentarzaZnak"/>
    <w:uiPriority w:val="99"/>
    <w:semiHidden/>
    <w:unhideWhenUsed/>
    <w:rsid w:val="00B353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5330"/>
    <w:rPr>
      <w:sz w:val="20"/>
      <w:szCs w:val="20"/>
    </w:rPr>
  </w:style>
  <w:style w:type="paragraph" w:styleId="Tematkomentarza">
    <w:name w:val="annotation subject"/>
    <w:basedOn w:val="Tekstkomentarza"/>
    <w:next w:val="Tekstkomentarza"/>
    <w:link w:val="TematkomentarzaZnak"/>
    <w:uiPriority w:val="99"/>
    <w:semiHidden/>
    <w:unhideWhenUsed/>
    <w:rsid w:val="00B35330"/>
    <w:rPr>
      <w:b/>
      <w:bCs/>
    </w:rPr>
  </w:style>
  <w:style w:type="character" w:customStyle="1" w:styleId="TematkomentarzaZnak">
    <w:name w:val="Temat komentarza Znak"/>
    <w:basedOn w:val="TekstkomentarzaZnak"/>
    <w:link w:val="Tematkomentarza"/>
    <w:uiPriority w:val="99"/>
    <w:semiHidden/>
    <w:rsid w:val="00B35330"/>
    <w:rPr>
      <w:b/>
      <w:bCs/>
      <w:sz w:val="20"/>
      <w:szCs w:val="20"/>
    </w:rPr>
  </w:style>
  <w:style w:type="paragraph" w:styleId="Tekstdymka">
    <w:name w:val="Balloon Text"/>
    <w:basedOn w:val="Normalny"/>
    <w:link w:val="TekstdymkaZnak"/>
    <w:uiPriority w:val="99"/>
    <w:semiHidden/>
    <w:unhideWhenUsed/>
    <w:rsid w:val="00B35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330"/>
    <w:rPr>
      <w:rFonts w:ascii="Segoe UI" w:hAnsi="Segoe UI" w:cs="Segoe UI"/>
      <w:sz w:val="18"/>
      <w:szCs w:val="18"/>
    </w:rPr>
  </w:style>
  <w:style w:type="character" w:styleId="Hipercze">
    <w:name w:val="Hyperlink"/>
    <w:basedOn w:val="Domylnaczcionkaakapitu"/>
    <w:uiPriority w:val="99"/>
    <w:unhideWhenUsed/>
    <w:rsid w:val="00776BF5"/>
    <w:rPr>
      <w:color w:val="0563C1" w:themeColor="hyperlink"/>
      <w:u w:val="single"/>
    </w:rPr>
  </w:style>
  <w:style w:type="paragraph" w:styleId="NormalnyWeb">
    <w:name w:val="Normal (Web)"/>
    <w:basedOn w:val="Normalny"/>
    <w:uiPriority w:val="99"/>
    <w:rsid w:val="00AF3D9A"/>
    <w:pPr>
      <w:spacing w:before="100" w:beforeAutospacing="1" w:after="100" w:afterAutospacing="1" w:line="240" w:lineRule="auto"/>
      <w:ind w:firstLine="525"/>
    </w:pPr>
    <w:rPr>
      <w:rFonts w:ascii="Arial Unicode MS" w:eastAsia="Arial Unicode MS" w:hAnsi="Arial Unicode MS" w:cs="Arial Unicode MS"/>
      <w:color w:val="000000"/>
      <w:sz w:val="24"/>
      <w:szCs w:val="24"/>
      <w:lang w:eastAsia="pl-PL"/>
    </w:rPr>
  </w:style>
  <w:style w:type="character" w:customStyle="1" w:styleId="Nagwek1Znak">
    <w:name w:val="Nagłówek 1 Znak"/>
    <w:basedOn w:val="Domylnaczcionkaakapitu"/>
    <w:link w:val="Nagwek1"/>
    <w:uiPriority w:val="9"/>
    <w:rsid w:val="00192F6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92F63"/>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uiPriority w:val="99"/>
    <w:unhideWhenUsed/>
    <w:rsid w:val="00192F63"/>
    <w:pPr>
      <w:spacing w:after="120"/>
    </w:pPr>
  </w:style>
  <w:style w:type="character" w:customStyle="1" w:styleId="TekstpodstawowyZnak">
    <w:name w:val="Tekst podstawowy Znak"/>
    <w:basedOn w:val="Domylnaczcionkaakapitu"/>
    <w:link w:val="Tekstpodstawowy"/>
    <w:uiPriority w:val="99"/>
    <w:rsid w:val="00192F63"/>
  </w:style>
  <w:style w:type="character" w:styleId="Nierozpoznanawzmianka">
    <w:name w:val="Unresolved Mention"/>
    <w:basedOn w:val="Domylnaczcionkaakapitu"/>
    <w:uiPriority w:val="99"/>
    <w:semiHidden/>
    <w:unhideWhenUsed/>
    <w:rsid w:val="00192F63"/>
    <w:rPr>
      <w:color w:val="605E5C"/>
      <w:shd w:val="clear" w:color="auto" w:fill="E1DFDD"/>
    </w:rPr>
  </w:style>
  <w:style w:type="character" w:styleId="Tekstzastpczy">
    <w:name w:val="Placeholder Text"/>
    <w:basedOn w:val="Domylnaczcionkaakapitu"/>
    <w:uiPriority w:val="99"/>
    <w:semiHidden/>
    <w:rsid w:val="00316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wstih.pl" TargetMode="External"/><Relationship Id="rId5" Type="http://schemas.openxmlformats.org/officeDocument/2006/relationships/hyperlink" Target="mailto:wstih@wsti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517</Words>
  <Characters>3107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Eljasiak</dc:creator>
  <dc:description/>
  <cp:lastModifiedBy>wstih</cp:lastModifiedBy>
  <cp:revision>1</cp:revision>
  <cp:lastPrinted>2023-01-24T13:09:00Z</cp:lastPrinted>
  <dcterms:created xsi:type="dcterms:W3CDTF">2023-01-23T14:31:00Z</dcterms:created>
  <dcterms:modified xsi:type="dcterms:W3CDTF">2023-01-24T13:26:00Z</dcterms:modified>
  <cp:category/>
</cp:coreProperties>
</file>